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before="2600"/>
      </w:pPr>
      <w:r>
        <w:t xml:space="preserve"/>
      </w:r>
    </w:p>
    <w:p>
      <w:pPr>
        <w:pStyle w:val="Title"/>
        <w:jc w:val="center"/>
      </w:pPr>
      <w:r>
        <w:t xml:space="preserve">Juniper Office Care Fictional Sample</w:t>
      </w:r>
    </w:p>
    <w:p>
      <w:pPr>
        <w:pStyle w:val="Subtitle"/>
        <w:jc w:val="center"/>
      </w:pPr>
      <w:r>
        <w:t xml:space="preserve">Business Plan</w:t>
      </w:r>
    </w:p>
    <w:p>
      <w:r>
        <w:br w:type="page"/>
      </w:r>
    </w:p>
    <w:p>
      <w:pPr>
        <w:pStyle w:val="Heading1"/>
        <w:keepNext/>
      </w:pPr>
      <w:r>
        <w:t xml:space="preserve">Fictional sample and business overview</w:t>
      </w:r>
    </w:p>
    <w:p>
      <w:pPr>
        <w:keepNext/>
        <w:keepLines/>
      </w:pPr>
      <w:r>
        <w:t xml:space="preserve">FICTIONAL SAMPLE. This packet demonstrates the application's standard document formats using invented planning assumptions. It does not describe a real borrower, completed human review, lender offer, or credit approval. No supplier quote, signed contract, market research, or supporting record is represented as having been obtained.</w:t>
      </w:r>
    </w:p>
    <w:p>
      <w:pPr>
        <w:keepNext/>
        <w:keepLines/>
      </w:pPr>
      <w:r>
        <w:t xml:space="preserve">Juniper Office Care is an invented commercial-cleaning startup used to demonstrate a connected business plan and three-year projection workbook. The model starts in January 2027 and describes small-office cleaning in a hypothetical Boise service area. Its figures are a worked example, not recommended operating targets.</w:t>
      </w:r>
    </w:p>
    <w:p>
      <w:pPr>
        <w:keepLines/>
      </w:pPr>
      <w:r>
        <w:t xml:space="preserve">The scenario requests a hypothetical $100,000 term loan alongside $25,000 of owner funds. It assumes $240,000 of Year 1 sales, rising to $300,000 and $360,000. The schedules below show the corresponding cost, staffing, and debt assumptions. The model's gross margin excludes employee labor, which is shown separately in operating expenses.</w:t>
      </w:r>
    </w:p>
    <w:p>
      <w:pPr>
        <w:pStyle w:val="Heading1"/>
        <w:keepNext/>
      </w:pPr>
      <w:r>
        <w:t xml:space="preserve">Financial Outlook and Repayment Capacity</w:t>
      </w:r>
    </w:p>
    <w:p>
      <w:pPr>
        <w:pStyle w:val="FinancialStatus"/>
        <w:keepNext/>
        <w:keepLines/>
      </w:pPr>
      <w:r>
        <w:t xml:space="preserve">No deterministic financial-health warning was identified; the assumptions and repayment capacity still require lender and human review.</w:t>
      </w:r>
    </w:p>
    <w:tbl>
      <w:tblPr>
        <w:tblW w:w="9840" w:type="dxa"/>
        <w:tblInd w:w="120" w:type="dxa"/>
        <w:tblLayout w:type="fixed"/>
        <w:tblCellMar>
          <w:top w:w="100" w:type="dxa"/>
          <w:left w:w="120" w:type="dxa"/>
          <w:bottom w:w="100" w:type="dxa"/>
          <w:right w:w="120" w:type="dxa"/>
        </w:tblCellMar>
        <w:tblBorders>
          <w:top w:val="single" w:sz="4" w:color="AAB8C5"/>
          <w:left w:val="single" w:sz="4" w:color="AAB8C5"/>
          <w:bottom w:val="single" w:sz="4" w:color="AAB8C5"/>
          <w:right w:val="single" w:sz="4" w:color="AAB8C5"/>
          <w:insideH w:val="single" w:sz="4" w:color="DCE5EC"/>
          <w:insideV w:val="single" w:sz="4" w:color="DCE5EC"/>
        </w:tblBorders>
      </w:tblPr>
      <w:tblGrid>
        <w:gridCol w:w="3480"/>
        <w:gridCol w:w="2120"/>
        <w:gridCol w:w="2120"/>
        <w:gridCol w:w="2120"/>
      </w:tblGrid>
      <w:tr>
        <w:trPr>
          <w:cantSplit/>
          <w:tblHeader/>
        </w:trPr>
        <w:tc>
          <w:tcPr>
            <w:tcW w:w="3480" w:type="dxa"/>
            <w:shd w:val="clear" w:fill="17365D"/>
            <w:vAlign w:val="center"/>
          </w:tcPr>
          <w:p>
            <w:pPr>
              <w:jc w:val="left"/>
              <w:spacing w:before="0" w:after="0" w:line="240" w:lineRule="auto"/>
            </w:pPr>
            <w:r>
              <w:rPr>
                <w:b/>
                <w:color w:val="FFFFFF"/>
                <w:sz w:val="20"/>
                <w:szCs w:val="20"/>
              </w:rPr>
              <w:t xml:space="preserve">Metric</w:t>
            </w:r>
          </w:p>
        </w:tc>
        <w:tc>
          <w:tcPr>
            <w:tcW w:w="2120" w:type="dxa"/>
            <w:shd w:val="clear" w:fill="17365D"/>
            <w:vAlign w:val="center"/>
          </w:tcPr>
          <w:p>
            <w:pPr>
              <w:jc w:val="right"/>
              <w:spacing w:before="0" w:after="0" w:line="240" w:lineRule="auto"/>
            </w:pPr>
            <w:r>
              <w:rPr>
                <w:b/>
                <w:color w:val="FFFFFF"/>
                <w:sz w:val="20"/>
                <w:szCs w:val="20"/>
              </w:rPr>
              <w:t xml:space="preserve">Year 1</w:t>
            </w:r>
          </w:p>
        </w:tc>
        <w:tc>
          <w:tcPr>
            <w:tcW w:w="2120" w:type="dxa"/>
            <w:shd w:val="clear" w:fill="17365D"/>
            <w:vAlign w:val="center"/>
          </w:tcPr>
          <w:p>
            <w:pPr>
              <w:jc w:val="right"/>
              <w:spacing w:before="0" w:after="0" w:line="240" w:lineRule="auto"/>
            </w:pPr>
            <w:r>
              <w:rPr>
                <w:b/>
                <w:color w:val="FFFFFF"/>
                <w:sz w:val="20"/>
                <w:szCs w:val="20"/>
              </w:rPr>
              <w:t xml:space="preserve">Year 2</w:t>
            </w:r>
          </w:p>
        </w:tc>
        <w:tc>
          <w:tcPr>
            <w:tcW w:w="2120" w:type="dxa"/>
            <w:shd w:val="clear" w:fill="17365D"/>
            <w:vAlign w:val="center"/>
          </w:tcPr>
          <w:p>
            <w:pPr>
              <w:jc w:val="right"/>
              <w:spacing w:before="0" w:after="0" w:line="240" w:lineRule="auto"/>
            </w:pPr>
            <w:r>
              <w:rPr>
                <w:b/>
                <w:color w:val="FFFFFF"/>
                <w:sz w:val="20"/>
                <w:szCs w:val="20"/>
              </w:rPr>
              <w:t xml:space="preserve">Year 3</w:t>
            </w:r>
          </w:p>
        </w:tc>
      </w:tr>
      <w:tr>
        <w:trPr>
          <w:cantSplit/>
        </w:trPr>
        <w:tc>
          <w:tcPr>
            <w:tcW w:w="3480" w:type="dxa"/>
            <w:vAlign w:val="center"/>
          </w:tcPr>
          <w:p>
            <w:pPr>
              <w:jc w:val="left"/>
              <w:spacing w:before="0" w:after="0" w:line="240" w:lineRule="auto"/>
            </w:pPr>
            <w:r>
              <w:rPr>
                <w:b/>
                <w:color w:val="0B2441"/>
                <w:sz w:val="20"/>
                <w:szCs w:val="20"/>
              </w:rPr>
              <w:t xml:space="preserve">Revenue</w:t>
            </w:r>
          </w:p>
        </w:tc>
        <w:tc>
          <w:tcPr>
            <w:tcW w:w="2120" w:type="dxa"/>
            <w:vAlign w:val="center"/>
          </w:tcPr>
          <w:p>
            <w:pPr>
              <w:jc w:val="right"/>
              <w:spacing w:before="0" w:after="0" w:line="240" w:lineRule="auto"/>
            </w:pPr>
            <w:r>
              <w:rPr>
                <w:color w:val="0B2441"/>
                <w:sz w:val="20"/>
                <w:szCs w:val="20"/>
              </w:rPr>
              <w:t xml:space="preserve">$240,000</w:t>
            </w:r>
          </w:p>
        </w:tc>
        <w:tc>
          <w:tcPr>
            <w:tcW w:w="2120" w:type="dxa"/>
            <w:vAlign w:val="center"/>
          </w:tcPr>
          <w:p>
            <w:pPr>
              <w:jc w:val="right"/>
              <w:spacing w:before="0" w:after="0" w:line="240" w:lineRule="auto"/>
            </w:pPr>
            <w:r>
              <w:rPr>
                <w:color w:val="0B2441"/>
                <w:sz w:val="20"/>
                <w:szCs w:val="20"/>
              </w:rPr>
              <w:t xml:space="preserve">$300,000</w:t>
            </w:r>
          </w:p>
        </w:tc>
        <w:tc>
          <w:tcPr>
            <w:tcW w:w="2120" w:type="dxa"/>
            <w:vAlign w:val="center"/>
          </w:tcPr>
          <w:p>
            <w:pPr>
              <w:jc w:val="right"/>
              <w:spacing w:before="0" w:after="0" w:line="240" w:lineRule="auto"/>
            </w:pPr>
            <w:r>
              <w:rPr>
                <w:color w:val="0B2441"/>
                <w:sz w:val="20"/>
                <w:szCs w:val="20"/>
              </w:rPr>
              <w:t xml:space="preserve">$360,000</w:t>
            </w:r>
          </w:p>
        </w:tc>
      </w:tr>
      <w:tr>
        <w:trPr>
          <w:cantSplit/>
        </w:trPr>
        <w:tc>
          <w:tcPr>
            <w:tcW w:w="3480" w:type="dxa"/>
            <w:vAlign w:val="center"/>
          </w:tcPr>
          <w:p>
            <w:pPr>
              <w:jc w:val="left"/>
              <w:spacing w:before="0" w:after="0" w:line="240" w:lineRule="auto"/>
            </w:pPr>
            <w:r>
              <w:rPr>
                <w:b/>
                <w:color w:val="0B2441"/>
                <w:sz w:val="20"/>
                <w:szCs w:val="20"/>
              </w:rPr>
              <w:t xml:space="preserve">Interest expense used in net income</w:t>
            </w:r>
          </w:p>
        </w:tc>
        <w:tc>
          <w:tcPr>
            <w:tcW w:w="2120" w:type="dxa"/>
            <w:vAlign w:val="center"/>
          </w:tcPr>
          <w:p>
            <w:pPr>
              <w:jc w:val="right"/>
              <w:spacing w:before="0" w:after="0" w:line="240" w:lineRule="auto"/>
            </w:pPr>
            <w:r>
              <w:rPr>
                <w:color w:val="0B2441"/>
                <w:sz w:val="20"/>
                <w:szCs w:val="20"/>
              </w:rPr>
              <w:t xml:space="preserve">$8,736</w:t>
            </w:r>
          </w:p>
        </w:tc>
        <w:tc>
          <w:tcPr>
            <w:tcW w:w="2120" w:type="dxa"/>
            <w:vAlign w:val="center"/>
          </w:tcPr>
          <w:p>
            <w:pPr>
              <w:jc w:val="right"/>
              <w:spacing w:before="0" w:after="0" w:line="240" w:lineRule="auto"/>
            </w:pPr>
            <w:r>
              <w:rPr>
                <w:color w:val="0B2441"/>
                <w:sz w:val="20"/>
                <w:szCs w:val="20"/>
              </w:rPr>
              <w:t xml:space="preserve">$8,132</w:t>
            </w:r>
          </w:p>
        </w:tc>
        <w:tc>
          <w:tcPr>
            <w:tcW w:w="2120" w:type="dxa"/>
            <w:vAlign w:val="center"/>
          </w:tcPr>
          <w:p>
            <w:pPr>
              <w:jc w:val="right"/>
              <w:spacing w:before="0" w:after="0" w:line="240" w:lineRule="auto"/>
            </w:pPr>
            <w:r>
              <w:rPr>
                <w:color w:val="0B2441"/>
                <w:sz w:val="20"/>
                <w:szCs w:val="20"/>
              </w:rPr>
              <w:t xml:space="preserve">$7,465</w:t>
            </w:r>
          </w:p>
        </w:tc>
      </w:tr>
      <w:tr>
        <w:trPr>
          <w:cantSplit/>
        </w:trPr>
        <w:tc>
          <w:tcPr>
            <w:tcW w:w="3480" w:type="dxa"/>
            <w:vAlign w:val="center"/>
          </w:tcPr>
          <w:p>
            <w:pPr>
              <w:jc w:val="left"/>
              <w:spacing w:before="0" w:after="0" w:line="240" w:lineRule="auto"/>
            </w:pPr>
            <w:r>
              <w:rPr>
                <w:b/>
                <w:color w:val="0B2441"/>
                <w:sz w:val="20"/>
                <w:szCs w:val="20"/>
              </w:rPr>
              <w:t xml:space="preserve">Proposed capitalized interest</w:t>
            </w:r>
          </w:p>
        </w:tc>
        <w:tc>
          <w:tcPr>
            <w:tcW w:w="2120" w:type="dxa"/>
            <w:vAlign w:val="center"/>
          </w:tcPr>
          <w:p>
            <w:pPr>
              <w:jc w:val="right"/>
              <w:spacing w:before="0" w:after="0" w:line="240" w:lineRule="auto"/>
            </w:pPr>
            <w:r>
              <w:rPr>
                <w:color w:val="0B2441"/>
                <w:sz w:val="20"/>
                <w:szCs w:val="20"/>
              </w:rPr>
              <w:t xml:space="preserve">$0</w:t>
            </w:r>
          </w:p>
        </w:tc>
        <w:tc>
          <w:tcPr>
            <w:tcW w:w="2120" w:type="dxa"/>
            <w:vAlign w:val="center"/>
          </w:tcPr>
          <w:p>
            <w:pPr>
              <w:jc w:val="right"/>
              <w:spacing w:before="0" w:after="0" w:line="240" w:lineRule="auto"/>
            </w:pPr>
            <w:r>
              <w:rPr>
                <w:color w:val="0B2441"/>
                <w:sz w:val="20"/>
                <w:szCs w:val="20"/>
              </w:rPr>
              <w:t xml:space="preserve">$0</w:t>
            </w:r>
          </w:p>
        </w:tc>
        <w:tc>
          <w:tcPr>
            <w:tcW w:w="2120" w:type="dxa"/>
            <w:vAlign w:val="center"/>
          </w:tcPr>
          <w:p>
            <w:pPr>
              <w:jc w:val="right"/>
              <w:spacing w:before="0" w:after="0" w:line="240" w:lineRule="auto"/>
            </w:pPr>
            <w:r>
              <w:rPr>
                <w:color w:val="0B2441"/>
                <w:sz w:val="20"/>
                <w:szCs w:val="20"/>
              </w:rPr>
              <w:t xml:space="preserve">$0</w:t>
            </w:r>
          </w:p>
        </w:tc>
      </w:tr>
      <w:tr>
        <w:trPr>
          <w:cantSplit/>
        </w:trPr>
        <w:tc>
          <w:tcPr>
            <w:tcW w:w="3480" w:type="dxa"/>
            <w:vAlign w:val="center"/>
          </w:tcPr>
          <w:p>
            <w:pPr>
              <w:jc w:val="left"/>
              <w:spacing w:before="0" w:after="0" w:line="240" w:lineRule="auto"/>
            </w:pPr>
            <w:r>
              <w:rPr>
                <w:b/>
                <w:color w:val="0B2441"/>
                <w:sz w:val="20"/>
                <w:szCs w:val="20"/>
              </w:rPr>
              <w:t xml:space="preserve">Net income</w:t>
            </w:r>
          </w:p>
        </w:tc>
        <w:tc>
          <w:tcPr>
            <w:tcW w:w="2120" w:type="dxa"/>
            <w:vAlign w:val="center"/>
          </w:tcPr>
          <w:p>
            <w:pPr>
              <w:jc w:val="right"/>
              <w:spacing w:before="0" w:after="0" w:line="240" w:lineRule="auto"/>
            </w:pPr>
            <w:r>
              <w:rPr>
                <w:color w:val="0B2441"/>
                <w:sz w:val="20"/>
                <w:szCs w:val="20"/>
              </w:rPr>
              <w:t xml:space="preserve">$74,844</w:t>
            </w:r>
          </w:p>
        </w:tc>
        <w:tc>
          <w:tcPr>
            <w:tcW w:w="2120" w:type="dxa"/>
            <w:vAlign w:val="center"/>
          </w:tcPr>
          <w:p>
            <w:pPr>
              <w:jc w:val="right"/>
              <w:spacing w:before="0" w:after="0" w:line="240" w:lineRule="auto"/>
            </w:pPr>
            <w:r>
              <w:rPr>
                <w:color w:val="0B2441"/>
                <w:sz w:val="20"/>
                <w:szCs w:val="20"/>
              </w:rPr>
              <w:t xml:space="preserve">$84,946</w:t>
            </w:r>
          </w:p>
        </w:tc>
        <w:tc>
          <w:tcPr>
            <w:tcW w:w="2120" w:type="dxa"/>
            <w:vAlign w:val="center"/>
          </w:tcPr>
          <w:p>
            <w:pPr>
              <w:jc w:val="right"/>
              <w:spacing w:before="0" w:after="0" w:line="240" w:lineRule="auto"/>
            </w:pPr>
            <w:r>
              <w:rPr>
                <w:color w:val="0B2441"/>
                <w:sz w:val="20"/>
                <w:szCs w:val="20"/>
              </w:rPr>
              <w:t xml:space="preserve">$133,276</w:t>
            </w:r>
          </w:p>
        </w:tc>
      </w:tr>
      <w:tr>
        <w:trPr>
          <w:cantSplit/>
        </w:trPr>
        <w:tc>
          <w:tcPr>
            <w:tcW w:w="3480" w:type="dxa"/>
            <w:vAlign w:val="center"/>
          </w:tcPr>
          <w:p>
            <w:pPr>
              <w:jc w:val="left"/>
              <w:spacing w:before="0" w:after="0" w:line="240" w:lineRule="auto"/>
            </w:pPr>
            <w:r>
              <w:rPr>
                <w:b/>
                <w:color w:val="0B2441"/>
                <w:sz w:val="20"/>
                <w:szCs w:val="20"/>
              </w:rPr>
              <w:t xml:space="preserve">Cash available for debt service</w:t>
            </w:r>
          </w:p>
        </w:tc>
        <w:tc>
          <w:tcPr>
            <w:tcW w:w="2120" w:type="dxa"/>
            <w:vAlign w:val="center"/>
          </w:tcPr>
          <w:p>
            <w:pPr>
              <w:jc w:val="right"/>
              <w:spacing w:before="0" w:after="0" w:line="240" w:lineRule="auto"/>
            </w:pPr>
            <w:r>
              <w:rPr>
                <w:color w:val="0B2441"/>
                <w:sz w:val="20"/>
                <w:szCs w:val="20"/>
              </w:rPr>
              <w:t xml:space="preserve">$83,580</w:t>
            </w:r>
          </w:p>
        </w:tc>
        <w:tc>
          <w:tcPr>
            <w:tcW w:w="2120" w:type="dxa"/>
            <w:vAlign w:val="center"/>
          </w:tcPr>
          <w:p>
            <w:pPr>
              <w:jc w:val="right"/>
              <w:spacing w:before="0" w:after="0" w:line="240" w:lineRule="auto"/>
            </w:pPr>
            <w:r>
              <w:rPr>
                <w:color w:val="0B2441"/>
                <w:sz w:val="20"/>
                <w:szCs w:val="20"/>
              </w:rPr>
              <w:t xml:space="preserve">$93,078</w:t>
            </w:r>
          </w:p>
        </w:tc>
        <w:tc>
          <w:tcPr>
            <w:tcW w:w="2120" w:type="dxa"/>
            <w:vAlign w:val="center"/>
          </w:tcPr>
          <w:p>
            <w:pPr>
              <w:jc w:val="right"/>
              <w:spacing w:before="0" w:after="0" w:line="240" w:lineRule="auto"/>
            </w:pPr>
            <w:r>
              <w:rPr>
                <w:color w:val="0B2441"/>
                <w:sz w:val="20"/>
                <w:szCs w:val="20"/>
              </w:rPr>
              <w:t xml:space="preserve">$140,741</w:t>
            </w:r>
          </w:p>
        </w:tc>
      </w:tr>
      <w:tr>
        <w:trPr>
          <w:cantSplit/>
        </w:trPr>
        <w:tc>
          <w:tcPr>
            <w:tcW w:w="3480" w:type="dxa"/>
            <w:vAlign w:val="center"/>
          </w:tcPr>
          <w:p>
            <w:pPr>
              <w:jc w:val="left"/>
              <w:spacing w:before="0" w:after="0" w:line="240" w:lineRule="auto"/>
            </w:pPr>
            <w:r>
              <w:rPr>
                <w:b/>
                <w:color w:val="0B2441"/>
                <w:sz w:val="20"/>
                <w:szCs w:val="20"/>
              </w:rPr>
              <w:t xml:space="preserve">Cash interest included in debt service</w:t>
            </w:r>
          </w:p>
        </w:tc>
        <w:tc>
          <w:tcPr>
            <w:tcW w:w="2120" w:type="dxa"/>
            <w:vAlign w:val="center"/>
          </w:tcPr>
          <w:p>
            <w:pPr>
              <w:jc w:val="right"/>
              <w:spacing w:before="0" w:after="0" w:line="240" w:lineRule="auto"/>
            </w:pPr>
            <w:r>
              <w:rPr>
                <w:color w:val="0B2441"/>
                <w:sz w:val="20"/>
                <w:szCs w:val="20"/>
              </w:rPr>
              <w:t xml:space="preserve">$8,736</w:t>
            </w:r>
          </w:p>
        </w:tc>
        <w:tc>
          <w:tcPr>
            <w:tcW w:w="2120" w:type="dxa"/>
            <w:vAlign w:val="center"/>
          </w:tcPr>
          <w:p>
            <w:pPr>
              <w:jc w:val="right"/>
              <w:spacing w:before="0" w:after="0" w:line="240" w:lineRule="auto"/>
            </w:pPr>
            <w:r>
              <w:rPr>
                <w:color w:val="0B2441"/>
                <w:sz w:val="20"/>
                <w:szCs w:val="20"/>
              </w:rPr>
              <w:t xml:space="preserve">$8,132</w:t>
            </w:r>
          </w:p>
        </w:tc>
        <w:tc>
          <w:tcPr>
            <w:tcW w:w="2120" w:type="dxa"/>
            <w:vAlign w:val="center"/>
          </w:tcPr>
          <w:p>
            <w:pPr>
              <w:jc w:val="right"/>
              <w:spacing w:before="0" w:after="0" w:line="240" w:lineRule="auto"/>
            </w:pPr>
            <w:r>
              <w:rPr>
                <w:color w:val="0B2441"/>
                <w:sz w:val="20"/>
                <w:szCs w:val="20"/>
              </w:rPr>
              <w:t xml:space="preserve">$7,465</w:t>
            </w:r>
          </w:p>
        </w:tc>
      </w:tr>
      <w:tr>
        <w:trPr>
          <w:cantSplit/>
        </w:trPr>
        <w:tc>
          <w:tcPr>
            <w:tcW w:w="3480" w:type="dxa"/>
            <w:vAlign w:val="center"/>
          </w:tcPr>
          <w:p>
            <w:pPr>
              <w:jc w:val="left"/>
              <w:spacing w:before="0" w:after="0" w:line="240" w:lineRule="auto"/>
            </w:pPr>
            <w:r>
              <w:rPr>
                <w:b/>
                <w:color w:val="0B2441"/>
                <w:sz w:val="20"/>
                <w:szCs w:val="20"/>
              </w:rPr>
              <w:t xml:space="preserve">Total debt service</w:t>
            </w:r>
          </w:p>
        </w:tc>
        <w:tc>
          <w:tcPr>
            <w:tcW w:w="2120" w:type="dxa"/>
            <w:vAlign w:val="center"/>
          </w:tcPr>
          <w:p>
            <w:pPr>
              <w:jc w:val="right"/>
              <w:spacing w:before="0" w:after="0" w:line="240" w:lineRule="auto"/>
            </w:pPr>
            <w:r>
              <w:rPr>
                <w:color w:val="0B2441"/>
                <w:sz w:val="20"/>
                <w:szCs w:val="20"/>
              </w:rPr>
              <w:t xml:space="preserve">$15,204</w:t>
            </w:r>
          </w:p>
        </w:tc>
        <w:tc>
          <w:tcPr>
            <w:tcW w:w="2120" w:type="dxa"/>
            <w:vAlign w:val="center"/>
          </w:tcPr>
          <w:p>
            <w:pPr>
              <w:jc w:val="right"/>
              <w:spacing w:before="0" w:after="0" w:line="240" w:lineRule="auto"/>
            </w:pPr>
            <w:r>
              <w:rPr>
                <w:color w:val="0B2441"/>
                <w:sz w:val="20"/>
                <w:szCs w:val="20"/>
              </w:rPr>
              <w:t xml:space="preserve">$15,204</w:t>
            </w:r>
          </w:p>
        </w:tc>
        <w:tc>
          <w:tcPr>
            <w:tcW w:w="2120" w:type="dxa"/>
            <w:vAlign w:val="center"/>
          </w:tcPr>
          <w:p>
            <w:pPr>
              <w:jc w:val="right"/>
              <w:spacing w:before="0" w:after="0" w:line="240" w:lineRule="auto"/>
            </w:pPr>
            <w:r>
              <w:rPr>
                <w:color w:val="0B2441"/>
                <w:sz w:val="20"/>
                <w:szCs w:val="20"/>
              </w:rPr>
              <w:t xml:space="preserve">$15,204</w:t>
            </w:r>
          </w:p>
        </w:tc>
      </w:tr>
      <w:tr>
        <w:trPr>
          <w:cantSplit/>
        </w:trPr>
        <w:tc>
          <w:tcPr>
            <w:tcW w:w="3480" w:type="dxa"/>
            <w:vAlign w:val="center"/>
          </w:tcPr>
          <w:p>
            <w:pPr>
              <w:jc w:val="left"/>
              <w:spacing w:before="0" w:after="0" w:line="240" w:lineRule="auto"/>
            </w:pPr>
            <w:r>
              <w:rPr>
                <w:b/>
                <w:color w:val="0B2441"/>
                <w:sz w:val="20"/>
                <w:szCs w:val="20"/>
              </w:rPr>
              <w:t xml:space="preserve">Cash after debt service</w:t>
            </w:r>
          </w:p>
        </w:tc>
        <w:tc>
          <w:tcPr>
            <w:tcW w:w="2120" w:type="dxa"/>
            <w:vAlign w:val="center"/>
          </w:tcPr>
          <w:p>
            <w:pPr>
              <w:jc w:val="right"/>
              <w:spacing w:before="0" w:after="0" w:line="240" w:lineRule="auto"/>
            </w:pPr>
            <w:r>
              <w:rPr>
                <w:color w:val="0B2441"/>
                <w:sz w:val="20"/>
                <w:szCs w:val="20"/>
              </w:rPr>
              <w:t xml:space="preserve">$68,376</w:t>
            </w:r>
          </w:p>
        </w:tc>
        <w:tc>
          <w:tcPr>
            <w:tcW w:w="2120" w:type="dxa"/>
            <w:vAlign w:val="center"/>
          </w:tcPr>
          <w:p>
            <w:pPr>
              <w:jc w:val="right"/>
              <w:spacing w:before="0" w:after="0" w:line="240" w:lineRule="auto"/>
            </w:pPr>
            <w:r>
              <w:rPr>
                <w:color w:val="0B2441"/>
                <w:sz w:val="20"/>
                <w:szCs w:val="20"/>
              </w:rPr>
              <w:t xml:space="preserve">$77,874</w:t>
            </w:r>
          </w:p>
        </w:tc>
        <w:tc>
          <w:tcPr>
            <w:tcW w:w="2120" w:type="dxa"/>
            <w:vAlign w:val="center"/>
          </w:tcPr>
          <w:p>
            <w:pPr>
              <w:jc w:val="right"/>
              <w:spacing w:before="0" w:after="0" w:line="240" w:lineRule="auto"/>
            </w:pPr>
            <w:r>
              <w:rPr>
                <w:color w:val="0B2441"/>
                <w:sz w:val="20"/>
                <w:szCs w:val="20"/>
              </w:rPr>
              <w:t xml:space="preserve">$125,537</w:t>
            </w:r>
          </w:p>
        </w:tc>
      </w:tr>
      <w:tr>
        <w:trPr>
          <w:cantSplit/>
        </w:trPr>
        <w:tc>
          <w:tcPr>
            <w:tcW w:w="3480" w:type="dxa"/>
            <w:vAlign w:val="center"/>
          </w:tcPr>
          <w:p>
            <w:pPr>
              <w:jc w:val="left"/>
              <w:spacing w:before="0" w:after="0" w:line="240" w:lineRule="auto"/>
            </w:pPr>
            <w:r>
              <w:rPr>
                <w:b/>
                <w:color w:val="0B2441"/>
                <w:sz w:val="20"/>
                <w:szCs w:val="20"/>
              </w:rPr>
              <w:t xml:space="preserve">DSCR</w:t>
            </w:r>
          </w:p>
        </w:tc>
        <w:tc>
          <w:tcPr>
            <w:tcW w:w="2120" w:type="dxa"/>
            <w:vAlign w:val="center"/>
          </w:tcPr>
          <w:p>
            <w:pPr>
              <w:jc w:val="right"/>
              <w:spacing w:before="0" w:after="0" w:line="240" w:lineRule="auto"/>
            </w:pPr>
            <w:r>
              <w:rPr>
                <w:color w:val="0B2441"/>
                <w:sz w:val="20"/>
                <w:szCs w:val="20"/>
              </w:rPr>
              <w:t xml:space="preserve">5.50x</w:t>
            </w:r>
          </w:p>
        </w:tc>
        <w:tc>
          <w:tcPr>
            <w:tcW w:w="2120" w:type="dxa"/>
            <w:vAlign w:val="center"/>
          </w:tcPr>
          <w:p>
            <w:pPr>
              <w:jc w:val="right"/>
              <w:spacing w:before="0" w:after="0" w:line="240" w:lineRule="auto"/>
            </w:pPr>
            <w:r>
              <w:rPr>
                <w:color w:val="0B2441"/>
                <w:sz w:val="20"/>
                <w:szCs w:val="20"/>
              </w:rPr>
              <w:t xml:space="preserve">6.12x</w:t>
            </w:r>
          </w:p>
        </w:tc>
        <w:tc>
          <w:tcPr>
            <w:tcW w:w="2120" w:type="dxa"/>
            <w:vAlign w:val="center"/>
          </w:tcPr>
          <w:p>
            <w:pPr>
              <w:jc w:val="right"/>
              <w:spacing w:before="0" w:after="0" w:line="240" w:lineRule="auto"/>
            </w:pPr>
            <w:r>
              <w:rPr>
                <w:color w:val="0B2441"/>
                <w:sz w:val="20"/>
                <w:szCs w:val="20"/>
              </w:rPr>
              <w:t xml:space="preserve">9.26x</w:t>
            </w:r>
          </w:p>
        </w:tc>
      </w:tr>
    </w:tbl>
    <w:p>
      <w:pPr>
        <w:keepNext/>
        <w:keepLines/>
        <w:numPr>
          <w:ilvl w:val="0"/>
          <w:numId w:val="1"/>
        </w:numPr>
      </w:pPr>
      <w:r>
        <w:t xml:space="preserve">Minimum projected cumulative cash: $58,658</w:t>
      </w:r>
    </w:p>
    <w:p>
      <w:pPr>
        <w:keepNext/>
        <w:keepLines/>
        <w:numPr>
          <w:ilvl w:val="0"/>
          <w:numId w:val="1"/>
        </w:numPr>
      </w:pPr>
      <w:r>
        <w:t xml:space="preserve">Estimated break-even annual revenue: $162,300</w:t>
      </w:r>
    </w:p>
    <w:p>
      <w:pPr>
        <w:keepNext/>
        <w:keepLines/>
        <w:numPr>
          <w:ilvl w:val="0"/>
          <w:numId w:val="1"/>
        </w:numPr>
      </w:pPr>
      <w:r>
        <w:t xml:space="preserve">Proposed-loan repayment terms: $100,000 principal; 9% annual rate; 10-year term; modeled monthly payment $1,267; first payment 2027-01-15; modeled maturity 2036-12-15.</w:t>
      </w:r>
    </w:p>
    <w:p>
      <w:pPr>
        <w:keepNext/>
        <w:keepLines/>
        <w:numPr>
          <w:ilvl w:val="0"/>
          <w:numId w:val="1"/>
        </w:numPr>
      </w:pPr>
      <w:r>
        <w:t xml:space="preserve">Interest accounting: net income uses total interest expense, including capitalized interest; debt service uses cash interest plus scheduled principal.</w:t>
      </w:r>
    </w:p>
    <w:p>
      <w:pPr>
        <w:keepNext/>
        <w:keepLines/>
        <w:numPr>
          <w:ilvl w:val="0"/>
          <w:numId w:val="1"/>
        </w:numPr>
      </w:pPr>
      <w:r>
        <w:t xml:space="preserve">Expected working-capital funding: 2026-12-15</w:t>
      </w:r>
    </w:p>
    <w:p>
      <w:pPr>
        <w:keepLines/>
        <w:numPr>
          <w:ilvl w:val="0"/>
          <w:numId w:val="1"/>
        </w:numPr>
      </w:pPr>
      <w:r>
        <w:t xml:space="preserve">Cash-runway scope: Cash runway begins at the projection start with entered working capital net of proposed-loan payments scheduled before that date; other pre-period operating cash flows are outside the model.</w:t>
      </w:r>
    </w:p>
    <w:p>
      <w:pPr>
        <w:pStyle w:val="Heading1"/>
        <w:keepNext/>
      </w:pPr>
      <w:r>
        <w:t xml:space="preserve">Financing and opening uses</w:t>
      </w:r>
    </w:p>
    <w:p>
      <w:pPr>
        <w:keepNext/>
        <w:keepLines/>
      </w:pPr>
      <w:r>
        <w:t xml:space="preserve">Illustrative funding totals $125,000: a $100,000 requested loan and $25,000 owner contribution. Uses are $35,000 for cleaning equipment, $25,000 for a service vehicle, $5,000 for initial setup and deposits, and $60,000 for opening working capital. Sources equal uses. These are invented budgets; no purchases, quotes, deposits, or contribution have occurred.</w:t>
      </w:r>
    </w:p>
    <w:p>
      <w:pPr>
        <w:keepLines/>
      </w:pPr>
      <w:r>
        <w:t xml:space="preserve">The debt example uses 9% annual interest and a 10-year amortization, with expected funding on December 15, 2026. Those figures are arithmetic assumptions only. The workbook calculates scheduled principal and interest separately. Opening capital purchases are financing uses rather than additional sales. The projection is a simplified operating schedule and does not supply a full balance sheet, depreciation schedule, or business-income-tax forecast.</w:t>
      </w:r>
    </w:p>
    <w:p>
      <w:pPr>
        <w:pStyle w:val="Heading1"/>
        <w:keepNext/>
      </w:pPr>
      <w:r>
        <w:t xml:space="preserve">Services and customer assumptions</w:t>
      </w:r>
    </w:p>
    <w:p>
      <w:pPr>
        <w:keepNext/>
        <w:keepLines/>
      </w:pPr>
      <w:r>
        <w:t xml:space="preserve">Recurring office cleaning, restroom cleaning, floor care, and periodic detailed cleaning. The fictional mix assumes an average $1,000 monthly account value; this is an illustrative price, not a market quote.</w:t>
      </w:r>
    </w:p>
    <w:p>
      <w:pPr>
        <w:keepNext/>
        <w:keepLines/>
      </w:pPr>
      <w:r>
        <w:t xml:space="preserve">The hypothetical target is small offices and property managers within a compact Boise service area. The sample assumes buyers value consistent schedules, clear task lists, and a single contact for service concerns.</w:t>
      </w:r>
    </w:p>
    <w:p>
      <w:pPr>
        <w:keepLines/>
      </w:pPr>
      <w:r>
        <w:t xml:space="preserve">The scenario assumes an average recurring account requires three weekly service hours. The owner and two cleaners cover the first-year workload. Periodic detailed cleaning is included in the average account price, so it is not counted again as separate revenue. Actual site scope, travel, work frequency, collection terms, and capacity would need to be established before adopting these assumptions.</w:t>
      </w:r>
    </w:p>
    <w:p>
      <w:pPr>
        <w:pStyle w:val="Heading1"/>
        <w:keepNext/>
      </w:pPr>
      <w:r>
        <w:t xml:space="preserve">Market and sales plan</w:t>
      </w:r>
    </w:p>
    <w:p>
      <w:pPr>
        <w:keepNext/>
        <w:keepLines/>
      </w:pPr>
      <w:r>
        <w:t xml:space="preserve">This demonstration contains no researched market evidence. The account counts, prices, conversion assumptions, and competitor categories are invented inputs. A real borrower would need to collect and assess customer demand and local pricing evidence.</w:t>
      </w:r>
    </w:p>
    <w:p>
      <w:pPr>
        <w:keepNext/>
        <w:keepLines/>
      </w:pPr>
      <w:r>
        <w:t xml:space="preserve">The scenario compares hypothetical competitor categories only: local independent cleaning firms, regional franchises, and in-house staff. It makes no claims about any identifiable business or actual market share.</w:t>
      </w:r>
    </w:p>
    <w:p>
      <w:pPr>
        <w:keepLines/>
      </w:pPr>
      <w:r>
        <w:t xml:space="preserve">A hypothetical independent provider might offer flexible owner contact, a regional franchise might emphasize standardized service, and in-house employees might appeal to an office that wants direct control. These are planning categories, not researched profiles of actual firms. The sample proposes direct owner escalation and written inspection checklists as service features.</w:t>
      </w:r>
    </w:p>
    <w:p>
      <w:pPr>
        <w:keepLines/>
      </w:pPr>
      <w:r>
        <w:t xml:space="preserve">The fictional sales process uses referral outreach and a basic local website to invite site walkthroughs. Each opportunity would receive a written scope and quote before service begins. No leads, signed contracts, or conversion results exist for this sample.</w:t>
      </w:r>
    </w:p>
    <w:p>
      <w:pPr>
        <w:keepLines/>
      </w:pPr>
      <w:r>
        <w:t xml:space="preserve">The annual outreach and website allowance is $3,600 in Year 1, increasing 3% annually. That budget is included in Other operating expenses. No lead volume or conversion rate has been validated.</w:t>
      </w:r>
    </w:p>
    <w:p>
      <w:pPr>
        <w:pStyle w:val="Heading1"/>
        <w:keepNext/>
      </w:pPr>
      <w:r>
        <w:t xml:space="preserve">Operations and staffing</w:t>
      </w:r>
    </w:p>
    <w:p>
      <w:pPr>
        <w:keepNext/>
        <w:keepLines/>
      </w:pPr>
      <w:r>
        <w:t xml:space="preserve">The scenario assumes a leased storage and dispatch base in Boise, Idaho, with services performed at customer offices. No actual premises or lease have been selected.</w:t>
      </w:r>
    </w:p>
    <w:p>
      <w:pPr>
        <w:keepNext/>
        <w:keepLines/>
      </w:pPr>
      <w:r>
        <w:t xml:space="preserve">The operating sequence is inquiry, site walkthrough, written scope, scheduled service, quality inspection, and monthly billing. The owner would assign tasks, check exceptions, and follow up on invoices. Employee absences would first be covered by the owner, with new customer starts limited until coverage is available.</w:t>
      </w:r>
    </w:p>
    <w:p>
      <w:pPr>
        <w:keepLines/>
      </w:pPr>
      <w:r>
        <w:t xml:space="preserve">Two cleaners each work 25 hours weekly from Month 1 at $18 per hour. The owner receives $36,000 annually and covers management plus up to 25 weekly field hours during the first-year ramp. A conditional crew lead starts Month 13 at $22 per hour for 30 weekly hours. Annual pay increases are 3% from each role's anniversary. Payroll burdens are illustrative allowances, not statutory tax rates.</w:t>
      </w:r>
    </w:p>
    <w:p>
      <w:pPr>
        <w:keepLines/>
      </w:pPr>
      <w:r>
        <w:t xml:space="preserve">The example uses 52 weeks per year to translate hourly wages to annual compensation. The conditional crew lead remains a cost in the modeled schedule starting Month 13. If that hire is delayed in a real plan, both capacity and the financial assumptions would need to be revised together.</w:t>
      </w:r>
    </w:p>
    <w:p>
      <w:pPr>
        <w:pStyle w:val="Heading1"/>
        <w:keepNext/>
      </w:pPr>
      <w:r>
        <w:t xml:space="preserve">Financial assumptions</w:t>
      </w:r>
    </w:p>
    <w:p>
      <w:pPr>
        <w:keepNext/>
        <w:keepLines/>
      </w:pPr>
      <w:r>
        <w:t xml:space="preserve">Illustrative sales equal average recurring-account equivalents times $1,000 per month. Year 1 averages 20 equivalents with a gradual ramp, Year 2 averages 25, and Year 3 averages 30. Periodic cleaning is included in the average account value, not added again.</w:t>
      </w:r>
    </w:p>
    <w:p>
      <w:pPr>
        <w:keepNext/>
        <w:keepLines/>
      </w:pPr>
      <w:r>
        <w:t xml:space="preserve">The Year 1 gradual ramp allocates 5%, 6%, 7%, 7.5%, 8%, 8.5%, 9%, 9.5%, 9.5%, 10%, 10%, and 10% of annual sales to successive months. This is $12,000 in January and $24,000 in December. Years 2 and 3 use equal monthly allocation. Consumable costs follow sales at 12%.</w:t>
      </w:r>
    </w:p>
    <w:p>
      <w:pPr>
        <w:keepLines/>
      </w:pPr>
      <w:r>
        <w:t xml:space="preserve">Direct costs are an illustrative 12% of sales for cleaning chemicals and consumables. Staff pay and payroll burdens are excluded from this line and appear separately in the staffing schedule. The gross margin shown is therefore before employee labor.</w:t>
      </w:r>
    </w:p>
    <w:p>
      <w:pPr>
        <w:keepLines/>
      </w:pPr>
      <w:r>
        <w:t xml:space="preserve">Nonpayroll operating costs include rent, fuel, utilities, insurance, licenses, bookkeeping, maintenance, telephone/internet, and marketing. Each entered annual cost increases 3% in Years 2 and 3. Employee and owner compensation come from the staffing schedule and are not repeated in the expense rows. There are no extra owner withdrawals.</w:t>
      </w:r>
    </w:p>
    <w:p>
      <w:pPr>
        <w:keepLines/>
      </w:pPr>
      <w:r>
        <w:t xml:space="preserve">Year 1: revenue $240,000, net income $74,844, scheduled debt service $15,204, and modeled cash after debt service $68,376. Year 2: revenue $300,000, net income $84,946, scheduled debt service $15,204, and modeled cash after debt service $77,874. Year 3: revenue $360,000, net income $133,276, scheduled debt service $15,204, and modeled cash after debt service $125,537.</w:t>
      </w:r>
    </w:p>
    <w:p>
      <w:pPr>
        <w:keepLines/>
      </w:pPr>
      <w:r>
        <w:t xml:space="preserve">The workbook's Checks sheet checks arithmetic and consistency with these structured inputs. Those checks do not validate commercial assumptions or demonstrate lender acceptance. A positive coverage ratio in this invented scenario is not a borrowing recommendation.</w:t>
      </w:r>
    </w:p>
    <w:p>
      <w:pPr>
        <w:pStyle w:val="BodyLabel"/>
        <w:keepNext/>
        <w:keepLines/>
      </w:pPr>
      <w:r>
        <w:t xml:space="preserve">Staffing and Payroll Schedule</w:t>
      </w:r>
    </w:p>
    <w:p>
      <w:pPr>
        <w:keepNext/>
        <w:keepLines/>
      </w:pPr>
      <w:r>
        <w:t xml:space="preserve">This structured schedule controls monthly payroll in the projections. Estimated and conditional start months remain included beginning in the month shown.</w:t>
      </w:r>
    </w:p>
    <w:tbl>
      <w:tblPr>
        <w:tblW w:w="9320" w:type="dxa"/>
        <w:tblInd w:w="120" w:type="dxa"/>
        <w:tblLayout w:type="fixed"/>
        <w:tblCellMar>
          <w:top w:w="80" w:type="dxa"/>
          <w:left w:w="90" w:type="dxa"/>
          <w:bottom w:w="80" w:type="dxa"/>
          <w:right w:w="90" w:type="dxa"/>
        </w:tblCellMar>
        <w:tblBorders>
          <w:top w:val="single" w:sz="4" w:color="AAB8C5"/>
          <w:left w:val="single" w:sz="4" w:color="AAB8C5"/>
          <w:bottom w:val="single" w:sz="4" w:color="AAB8C5"/>
          <w:right w:val="single" w:sz="4" w:color="AAB8C5"/>
          <w:insideH w:val="single" w:sz="4" w:color="DCE5EC"/>
          <w:insideV w:val="single" w:sz="4" w:color="DCE5EC"/>
        </w:tblBorders>
      </w:tblPr>
      <w:tblGrid>
        <w:gridCol w:w="1740"/>
        <w:gridCol w:w="500"/>
        <w:gridCol w:w="1320"/>
        <w:gridCol w:w="1320"/>
        <w:gridCol w:w="1480"/>
        <w:gridCol w:w="1480"/>
        <w:gridCol w:w="1480"/>
      </w:tblGrid>
      <w:tr>
        <w:trPr>
          <w:cantSplit/>
          <w:tblHeader/>
        </w:trPr>
        <w:tc>
          <w:tcPr>
            <w:tcW w:w="1740" w:type="dxa"/>
            <w:shd w:val="clear" w:fill="17365D"/>
            <w:vAlign w:val="center"/>
          </w:tcPr>
          <w:p>
            <w:pPr>
              <w:jc w:val="left"/>
              <w:spacing w:before="0" w:after="0" w:line="220" w:lineRule="auto"/>
            </w:pPr>
            <w:r>
              <w:rPr>
                <w:b/>
                <w:color w:val="FFFFFF"/>
                <w:sz w:val="17"/>
                <w:szCs w:val="17"/>
              </w:rPr>
              <w:t xml:space="preserve">Role</w:t>
            </w:r>
          </w:p>
        </w:tc>
        <w:tc>
          <w:tcPr>
            <w:tcW w:w="500" w:type="dxa"/>
            <w:shd w:val="clear" w:fill="17365D"/>
            <w:vAlign w:val="center"/>
          </w:tcPr>
          <w:p>
            <w:pPr>
              <w:jc w:val="center"/>
              <w:spacing w:before="0" w:after="0" w:line="220" w:lineRule="auto"/>
            </w:pPr>
            <w:r>
              <w:rPr>
                <w:b/>
                <w:color w:val="FFFFFF"/>
                <w:sz w:val="17"/>
                <w:szCs w:val="17"/>
              </w:rPr>
              <w:t xml:space="preserve">HC</w:t>
            </w:r>
          </w:p>
        </w:tc>
        <w:tc>
          <w:tcPr>
            <w:tcW w:w="1320" w:type="dxa"/>
            <w:shd w:val="clear" w:fill="17365D"/>
            <w:vAlign w:val="center"/>
          </w:tcPr>
          <w:p>
            <w:pPr>
              <w:jc w:val="center"/>
              <w:spacing w:before="0" w:after="0" w:line="220" w:lineRule="auto"/>
            </w:pPr>
            <w:r>
              <w:rPr>
                <w:b/>
                <w:color w:val="FFFFFF"/>
                <w:sz w:val="17"/>
                <w:szCs w:val="17"/>
              </w:rPr>
              <w:t xml:space="preserve">Start</w:t>
            </w:r>
          </w:p>
        </w:tc>
        <w:tc>
          <w:tcPr>
            <w:tcW w:w="1320" w:type="dxa"/>
            <w:shd w:val="clear" w:fill="17365D"/>
            <w:vAlign w:val="center"/>
          </w:tcPr>
          <w:p>
            <w:pPr>
              <w:jc w:val="center"/>
              <w:spacing w:before="0" w:after="0" w:line="220" w:lineRule="auto"/>
            </w:pPr>
            <w:r>
              <w:rPr>
                <w:b/>
                <w:color w:val="FFFFFF"/>
                <w:sz w:val="17"/>
                <w:szCs w:val="17"/>
              </w:rPr>
              <w:t xml:space="preserve">Pay basis / rate</w:t>
            </w:r>
          </w:p>
        </w:tc>
        <w:tc>
          <w:tcPr>
            <w:tcW w:w="1480" w:type="dxa"/>
            <w:shd w:val="clear" w:fill="17365D"/>
            <w:vAlign w:val="center"/>
          </w:tcPr>
          <w:p>
            <w:pPr>
              <w:jc w:val="center"/>
              <w:spacing w:before="0" w:after="0" w:line="220" w:lineRule="auto"/>
            </w:pPr>
            <w:r>
              <w:rPr>
                <w:b/>
                <w:color w:val="FFFFFF"/>
                <w:sz w:val="17"/>
                <w:szCs w:val="17"/>
              </w:rPr>
              <w:t xml:space="preserve">Y1 gross / burden</w:t>
            </w:r>
          </w:p>
        </w:tc>
        <w:tc>
          <w:tcPr>
            <w:tcW w:w="1480" w:type="dxa"/>
            <w:shd w:val="clear" w:fill="17365D"/>
            <w:vAlign w:val="center"/>
          </w:tcPr>
          <w:p>
            <w:pPr>
              <w:jc w:val="center"/>
              <w:spacing w:before="0" w:after="0" w:line="220" w:lineRule="auto"/>
            </w:pPr>
            <w:r>
              <w:rPr>
                <w:b/>
                <w:color w:val="FFFFFF"/>
                <w:sz w:val="17"/>
                <w:szCs w:val="17"/>
              </w:rPr>
              <w:t xml:space="preserve">Y2 gross / burden</w:t>
            </w:r>
          </w:p>
        </w:tc>
        <w:tc>
          <w:tcPr>
            <w:tcW w:w="1480" w:type="dxa"/>
            <w:shd w:val="clear" w:fill="17365D"/>
            <w:vAlign w:val="center"/>
          </w:tcPr>
          <w:p>
            <w:pPr>
              <w:jc w:val="center"/>
              <w:spacing w:before="0" w:after="0" w:line="220" w:lineRule="auto"/>
            </w:pPr>
            <w:r>
              <w:rPr>
                <w:b/>
                <w:color w:val="FFFFFF"/>
                <w:sz w:val="17"/>
                <w:szCs w:val="17"/>
              </w:rPr>
              <w:t xml:space="preserve">Y3 gross / burden</w:t>
            </w:r>
          </w:p>
        </w:tc>
      </w:tr>
      <w:tr>
        <w:trPr>
          <w:cantSplit/>
        </w:trPr>
        <w:tc>
          <w:tcPr>
            <w:tcW w:w="1740" w:type="dxa"/>
            <w:vAlign w:val="center"/>
          </w:tcPr>
          <w:p>
            <w:pPr>
              <w:jc w:val="left"/>
              <w:spacing w:before="0" w:after="0" w:line="220" w:lineRule="auto"/>
            </w:pPr>
            <w:r>
              <w:rPr>
                <w:color w:val="0B2441"/>
                <w:sz w:val="17"/>
                <w:szCs w:val="17"/>
              </w:rPr>
              <w:t xml:space="preserve">Owner manager</w:t>
            </w:r>
          </w:p>
        </w:tc>
        <w:tc>
          <w:tcPr>
            <w:tcW w:w="500" w:type="dxa"/>
            <w:vAlign w:val="center"/>
          </w:tcPr>
          <w:p>
            <w:pPr>
              <w:jc w:val="center"/>
              <w:spacing w:before="0" w:after="0" w:line="220" w:lineRule="auto"/>
            </w:pPr>
            <w:r>
              <w:rPr>
                <w:color w:val="0B2441"/>
                <w:sz w:val="17"/>
                <w:szCs w:val="17"/>
              </w:rPr>
              <w:t xml:space="preserve">1</w:t>
            </w:r>
          </w:p>
        </w:tc>
        <w:tc>
          <w:tcPr>
            <w:tcW w:w="1320" w:type="dxa"/>
            <w:vAlign w:val="center"/>
          </w:tcPr>
          <w:p>
            <w:pPr>
              <w:jc w:val="center"/>
              <w:spacing w:before="0" w:after="0" w:line="220" w:lineRule="auto"/>
            </w:pPr>
            <w:r>
              <w:rPr>
                <w:color w:val="0B2441"/>
                <w:sz w:val="17"/>
                <w:szCs w:val="17"/>
              </w:rPr>
              <w:t xml:space="preserve">Month 1; estimated; scheduled</w:t>
            </w:r>
          </w:p>
        </w:tc>
        <w:tc>
          <w:tcPr>
            <w:tcW w:w="1320" w:type="dxa"/>
            <w:vAlign w:val="center"/>
          </w:tcPr>
          <w:p>
            <w:pPr>
              <w:jc w:val="center"/>
              <w:spacing w:before="0" w:after="0" w:line="220" w:lineRule="auto"/>
            </w:pPr>
            <w:r>
              <w:rPr>
                <w:color w:val="0B2441"/>
                <w:sz w:val="17"/>
                <w:szCs w:val="17"/>
              </w:rPr>
              <w:t xml:space="preserve">$36,000/year</w:t>
            </w:r>
          </w:p>
        </w:tc>
        <w:tc>
          <w:tcPr>
            <w:tcW w:w="1480" w:type="dxa"/>
            <w:vAlign w:val="center"/>
          </w:tcPr>
          <w:p>
            <w:pPr>
              <w:jc w:val="center"/>
              <w:spacing w:before="0" w:after="0" w:line="220" w:lineRule="auto"/>
            </w:pPr>
            <w:r>
              <w:rPr>
                <w:color w:val="0B2441"/>
                <w:sz w:val="17"/>
                <w:szCs w:val="17"/>
              </w:rPr>
              <w:t xml:space="preserve">$36,000 / $3,600</w:t>
            </w:r>
          </w:p>
        </w:tc>
        <w:tc>
          <w:tcPr>
            <w:tcW w:w="1480" w:type="dxa"/>
            <w:vAlign w:val="center"/>
          </w:tcPr>
          <w:p>
            <w:pPr>
              <w:jc w:val="center"/>
              <w:spacing w:before="0" w:after="0" w:line="220" w:lineRule="auto"/>
            </w:pPr>
            <w:r>
              <w:rPr>
                <w:color w:val="0B2441"/>
                <w:sz w:val="17"/>
                <w:szCs w:val="17"/>
              </w:rPr>
              <w:t xml:space="preserve">$37,080 / $3,708</w:t>
            </w:r>
          </w:p>
        </w:tc>
        <w:tc>
          <w:tcPr>
            <w:tcW w:w="1480" w:type="dxa"/>
            <w:vAlign w:val="center"/>
          </w:tcPr>
          <w:p>
            <w:pPr>
              <w:jc w:val="center"/>
              <w:spacing w:before="0" w:after="0" w:line="220" w:lineRule="auto"/>
            </w:pPr>
            <w:r>
              <w:rPr>
                <w:color w:val="0B2441"/>
                <w:sz w:val="17"/>
                <w:szCs w:val="17"/>
              </w:rPr>
              <w:t xml:space="preserve">$38,196 / $3,816</w:t>
            </w:r>
          </w:p>
        </w:tc>
      </w:tr>
      <w:tr>
        <w:trPr>
          <w:cantSplit/>
        </w:trPr>
        <w:tc>
          <w:tcPr>
            <w:tcW w:w="1740" w:type="dxa"/>
            <w:vAlign w:val="center"/>
          </w:tcPr>
          <w:p>
            <w:pPr>
              <w:jc w:val="left"/>
              <w:spacing w:before="0" w:after="0" w:line="220" w:lineRule="auto"/>
            </w:pPr>
            <w:r>
              <w:rPr>
                <w:color w:val="0B2441"/>
                <w:sz w:val="17"/>
                <w:szCs w:val="17"/>
              </w:rPr>
              <w:t xml:space="preserve">Part time cleaners</w:t>
            </w:r>
          </w:p>
        </w:tc>
        <w:tc>
          <w:tcPr>
            <w:tcW w:w="500" w:type="dxa"/>
            <w:vAlign w:val="center"/>
          </w:tcPr>
          <w:p>
            <w:pPr>
              <w:jc w:val="center"/>
              <w:spacing w:before="0" w:after="0" w:line="220" w:lineRule="auto"/>
            </w:pPr>
            <w:r>
              <w:rPr>
                <w:color w:val="0B2441"/>
                <w:sz w:val="17"/>
                <w:szCs w:val="17"/>
              </w:rPr>
              <w:t xml:space="preserve">2</w:t>
            </w:r>
          </w:p>
        </w:tc>
        <w:tc>
          <w:tcPr>
            <w:tcW w:w="1320" w:type="dxa"/>
            <w:vAlign w:val="center"/>
          </w:tcPr>
          <w:p>
            <w:pPr>
              <w:jc w:val="center"/>
              <w:spacing w:before="0" w:after="0" w:line="220" w:lineRule="auto"/>
            </w:pPr>
            <w:r>
              <w:rPr>
                <w:color w:val="0B2441"/>
                <w:sz w:val="17"/>
                <w:szCs w:val="17"/>
              </w:rPr>
              <w:t xml:space="preserve">Month 1; estimated; scheduled</w:t>
            </w:r>
          </w:p>
        </w:tc>
        <w:tc>
          <w:tcPr>
            <w:tcW w:w="1320" w:type="dxa"/>
            <w:vAlign w:val="center"/>
          </w:tcPr>
          <w:p>
            <w:pPr>
              <w:jc w:val="center"/>
              <w:spacing w:before="0" w:after="0" w:line="220" w:lineRule="auto"/>
            </w:pPr>
            <w:r>
              <w:rPr>
                <w:color w:val="0B2441"/>
                <w:sz w:val="17"/>
                <w:szCs w:val="17"/>
              </w:rPr>
              <w:t xml:space="preserve">$18/hour; 25 hrs/week</w:t>
            </w:r>
          </w:p>
        </w:tc>
        <w:tc>
          <w:tcPr>
            <w:tcW w:w="1480" w:type="dxa"/>
            <w:vAlign w:val="center"/>
          </w:tcPr>
          <w:p>
            <w:pPr>
              <w:jc w:val="center"/>
              <w:spacing w:before="0" w:after="0" w:line="220" w:lineRule="auto"/>
            </w:pPr>
            <w:r>
              <w:rPr>
                <w:color w:val="0B2441"/>
                <w:sz w:val="17"/>
                <w:szCs w:val="17"/>
              </w:rPr>
              <w:t xml:space="preserve">$46,800 / $7,020</w:t>
            </w:r>
          </w:p>
        </w:tc>
        <w:tc>
          <w:tcPr>
            <w:tcW w:w="1480" w:type="dxa"/>
            <w:vAlign w:val="center"/>
          </w:tcPr>
          <w:p>
            <w:pPr>
              <w:jc w:val="center"/>
              <w:spacing w:before="0" w:after="0" w:line="220" w:lineRule="auto"/>
            </w:pPr>
            <w:r>
              <w:rPr>
                <w:color w:val="0B2441"/>
                <w:sz w:val="17"/>
                <w:szCs w:val="17"/>
              </w:rPr>
              <w:t xml:space="preserve">$48,204 / $7,236</w:t>
            </w:r>
          </w:p>
        </w:tc>
        <w:tc>
          <w:tcPr>
            <w:tcW w:w="1480" w:type="dxa"/>
            <w:vAlign w:val="center"/>
          </w:tcPr>
          <w:p>
            <w:pPr>
              <w:jc w:val="center"/>
              <w:spacing w:before="0" w:after="0" w:line="220" w:lineRule="auto"/>
            </w:pPr>
            <w:r>
              <w:rPr>
                <w:color w:val="0B2441"/>
                <w:sz w:val="17"/>
                <w:szCs w:val="17"/>
              </w:rPr>
              <w:t xml:space="preserve">$49,656 / $7,452</w:t>
            </w:r>
          </w:p>
        </w:tc>
      </w:tr>
      <w:tr>
        <w:trPr>
          <w:cantSplit/>
        </w:trPr>
        <w:tc>
          <w:tcPr>
            <w:tcW w:w="1740" w:type="dxa"/>
            <w:vAlign w:val="center"/>
          </w:tcPr>
          <w:p>
            <w:pPr>
              <w:jc w:val="left"/>
              <w:spacing w:before="0" w:after="0" w:line="220" w:lineRule="auto"/>
            </w:pPr>
            <w:r>
              <w:rPr>
                <w:color w:val="0B2441"/>
                <w:sz w:val="17"/>
                <w:szCs w:val="17"/>
              </w:rPr>
              <w:t xml:space="preserve">Conditional crew lead</w:t>
            </w:r>
          </w:p>
        </w:tc>
        <w:tc>
          <w:tcPr>
            <w:tcW w:w="500" w:type="dxa"/>
            <w:vAlign w:val="center"/>
          </w:tcPr>
          <w:p>
            <w:pPr>
              <w:jc w:val="center"/>
              <w:spacing w:before="0" w:after="0" w:line="220" w:lineRule="auto"/>
            </w:pPr>
            <w:r>
              <w:rPr>
                <w:color w:val="0B2441"/>
                <w:sz w:val="17"/>
                <w:szCs w:val="17"/>
              </w:rPr>
              <w:t xml:space="preserve">1</w:t>
            </w:r>
          </w:p>
        </w:tc>
        <w:tc>
          <w:tcPr>
            <w:tcW w:w="1320" w:type="dxa"/>
            <w:vAlign w:val="center"/>
          </w:tcPr>
          <w:p>
            <w:pPr>
              <w:jc w:val="center"/>
              <w:spacing w:before="0" w:after="0" w:line="220" w:lineRule="auto"/>
            </w:pPr>
            <w:r>
              <w:rPr>
                <w:color w:val="0B2441"/>
                <w:sz w:val="17"/>
                <w:szCs w:val="17"/>
              </w:rPr>
              <w:t xml:space="preserve">Month 13; estimated; conditional</w:t>
            </w:r>
          </w:p>
        </w:tc>
        <w:tc>
          <w:tcPr>
            <w:tcW w:w="1320" w:type="dxa"/>
            <w:vAlign w:val="center"/>
          </w:tcPr>
          <w:p>
            <w:pPr>
              <w:jc w:val="center"/>
              <w:spacing w:before="0" w:after="0" w:line="220" w:lineRule="auto"/>
            </w:pPr>
            <w:r>
              <w:rPr>
                <w:color w:val="0B2441"/>
                <w:sz w:val="17"/>
                <w:szCs w:val="17"/>
              </w:rPr>
              <w:t xml:space="preserve">$22/hour; 30 hrs/week</w:t>
            </w:r>
          </w:p>
        </w:tc>
        <w:tc>
          <w:tcPr>
            <w:tcW w:w="1480" w:type="dxa"/>
            <w:vAlign w:val="center"/>
          </w:tcPr>
          <w:p>
            <w:pPr>
              <w:jc w:val="center"/>
              <w:spacing w:before="0" w:after="0" w:line="220" w:lineRule="auto"/>
            </w:pPr>
            <w:r>
              <w:rPr>
                <w:color w:val="0B2441"/>
                <w:sz w:val="17"/>
                <w:szCs w:val="17"/>
              </w:rPr>
              <w:t xml:space="preserve">$0 / $0</w:t>
            </w:r>
          </w:p>
        </w:tc>
        <w:tc>
          <w:tcPr>
            <w:tcW w:w="1480" w:type="dxa"/>
            <w:vAlign w:val="center"/>
          </w:tcPr>
          <w:p>
            <w:pPr>
              <w:jc w:val="center"/>
              <w:spacing w:before="0" w:after="0" w:line="220" w:lineRule="auto"/>
            </w:pPr>
            <w:r>
              <w:rPr>
                <w:color w:val="0B2441"/>
                <w:sz w:val="17"/>
                <w:szCs w:val="17"/>
              </w:rPr>
              <w:t xml:space="preserve">$34,320 / $5,148</w:t>
            </w:r>
          </w:p>
        </w:tc>
        <w:tc>
          <w:tcPr>
            <w:tcW w:w="1480" w:type="dxa"/>
            <w:vAlign w:val="center"/>
          </w:tcPr>
          <w:p>
            <w:pPr>
              <w:jc w:val="center"/>
              <w:spacing w:before="0" w:after="0" w:line="220" w:lineRule="auto"/>
            </w:pPr>
            <w:r>
              <w:rPr>
                <w:color w:val="0B2441"/>
                <w:sz w:val="17"/>
                <w:szCs w:val="17"/>
              </w:rPr>
              <w:t xml:space="preserve">$35,352 / $5,304</w:t>
            </w:r>
          </w:p>
        </w:tc>
      </w:tr>
    </w:tbl>
    <w:p>
      <w:pPr>
        <w:pStyle w:val="BodyLabel"/>
        <w:keepNext/>
        <w:keepLines/>
      </w:pPr>
      <w:r>
        <w:t xml:space="preserve">Staffing calculation sources:</w:t>
      </w:r>
    </w:p>
    <w:p>
      <w:pPr>
        <w:keepLines/>
        <w:numPr>
          <w:ilvl w:val="0"/>
          <w:numId w:val="1"/>
        </w:numPr>
      </w:pPr>
      <w:r>
        <w:t xml:space="preserve">Illustrative planning assumption for this fictional sample; no external supporting record.</w:t>
      </w:r>
    </w:p>
    <w:p>
      <w:pPr>
        <w:pStyle w:val="Heading1"/>
        <w:keepNext/>
      </w:pPr>
      <w:r>
        <w:t xml:space="preserve">Risks and operating responses</w:t>
      </w:r>
    </w:p>
    <w:p>
      <w:pPr>
        <w:keepNext/>
        <w:keepLines/>
      </w:pPr>
      <w:r>
        <w:t xml:space="preserve">The scenario's main risks are slower sales, staff absences, and higher supply costs. Proposed responses are to preserve reserves, condition the crew-lead hire on workload, document service procedures, and revisit prices before accepting new work.</w:t>
      </w:r>
    </w:p>
    <w:p>
      <w:pPr>
        <w:keepNext/>
        <w:keepLines/>
      </w:pPr>
      <w:r>
        <w:t xml:space="preserve">Slower account conversion would reduce cash collections while rent and base payroll continue. The proposed response is to reduce discretionary spending and delay the conditional hire, then rebuild both capacity and revenue forecasts. Staff absences would require owner coverage and may limit sales. Higher supply, wage, or insurance costs would require a fresh margin review before new contracts are quoted.</w:t>
      </w:r>
    </w:p>
    <w:p>
      <w:pPr>
        <w:keepLines/>
      </w:pPr>
      <w:r>
        <w:t xml:space="preserve">The opening working-capital allocation provides a scenario reserve, but the workbook does not model every timing difference between invoices, payments, taxes, and purchases. A real borrower should prepare a cash plan that includes those timing differences and downside cases.</w:t>
      </w:r>
    </w:p>
    <w:p>
      <w:pPr>
        <w:pStyle w:val="Heading1"/>
        <w:keepNext/>
      </w:pPr>
      <w:r>
        <w:t xml:space="preserve">Open items and records</w:t>
      </w:r>
    </w:p>
    <w:p>
      <w:pPr>
        <w:keepNext/>
        <w:keepLines/>
      </w:pPr>
      <w:r>
        <w:t xml:space="preserve">Every commercial assumption is unverified because this is a fictional example. Real use would require demand research, quotes, a lease, owner records, tax and accounting treatment, lender terms, and human review of the complete packet.</w:t>
      </w:r>
    </w:p>
    <w:p>
      <w:pPr>
        <w:keepNext/>
        <w:keepLines/>
      </w:pPr>
      <w:r>
        <w:t xml:space="preserve">No supporting documents exist for this fictional sample. The named budgets, roles, account counts, and loan terms are scenario inputs only. A real application would replace them with appropriate records and clearly identify any remaining estimates.</w:t>
      </w:r>
    </w:p>
    <w:p>
      <w:pPr>
        <w:keepLines/>
      </w:pPr>
      <w:r>
        <w:t xml:space="preserve">Before real use, the borrower and reviewer would need to reconcile ownership and personal information, document the source of owner funds, validate equipment and vehicle budgets, assess demand and price assumptions, confirm staffing availability, and evaluate legal, accounting, insurance, tax, and lender requirements. This sample contains no actual lender submission or human approval.</w:t>
      </w:r>
    </w:p>
    <w:p>
      <w:pPr>
        <w:pStyle w:val="Disclaimer"/>
        <w:spacing w:before="420"/>
      </w:pPr>
      <w:r>
        <w:t xml:space="preserve">FICTIONAL SAMPLE. This packet demonstrates the application's standard document formats using invented planning assumptions. It does not describe a real borrower, completed human review, lender offer, or credit approval. No supplier quote, signed contract, market research, or supporting record is represented as having been obtained. This packet is for format review only. It does not make credit decisions or guarantee financing.</w:t>
      </w:r>
    </w:p>
    <w:sectPr>
      <w:footerReference w:type="default" r:id="rId3"/>
      <w:titlePg/>
      <w:pgSz w:w="12240" w:h="15840"/>
      <w:pgMar w:top="1008" w:right="1080" w:bottom="1123" w:left="1080" w:header="360" w:footer="360" w:gutter="0"/>
    </w:sectPr>
  </w:body>
</w:document>
</file>

<file path=word/footer1.xml><?xml version="1.0" encoding="utf-8"?>
<w:ftr xmlns:w="http://schemas.openxmlformats.org/wordprocessingml/2006/main">
  <w:tbl>
    <w:tblPr>
      <w:tblW w:w="10080" w:type="dxa"/>
      <w:tblLayout w:type="fixed"/>
      <w:tblBorders>
        <w:top w:val="single" w:sz="4" w:space="0" w:color="DCE5EC"/>
      </w:tblBorders>
    </w:tblPr>
    <w:tblGrid>
      <w:gridCol w:w="8000"/>
      <w:gridCol w:w="2080"/>
    </w:tblGrid>
    <w:tr>
      <w:tc>
        <w:tcPr>
          <w:tcW w:w="8000" w:type="dxa"/>
        </w:tcPr>
        <w:p>
          <w:r>
            <w:rPr>
              <w:color w:val="526174"/>
              <w:sz w:val="18"/>
            </w:rPr>
            <w:t>Juniper Office Care Fictional Sample</w:t>
          </w:r>
        </w:p>
      </w:tc>
      <w:tc>
        <w:tcPr>
          <w:tcW w:w="2080" w:type="dxa"/>
        </w:tcPr>
        <w:p>
          <w:pPr>
            <w:jc w:val="right"/>
          </w:pPr>
          <w:r>
            <w:rPr>
              <w:color w:val="526174"/>
              <w:sz w:val="18"/>
            </w:rPr>
            <w:t xml:space="preserve">Page </w:t>
          </w:r>
          <w:r>
            <w:fldChar w:fldCharType="begin"/>
          </w:r>
          <w:r>
            <w:instrText xml:space="preserve"> PAGE </w:instrText>
          </w:r>
          <w:r>
            <w:fldChar w:fldCharType="separate"/>
          </w:r>
          <w:r>
            <w:t>1</w:t>
          </w:r>
          <w:r>
            <w:fldChar w:fldCharType="end"/>
          </w:r>
        </w:p>
      </w:tc>
    </w:tr>
  </w:tbl>
</w:ftr>
</file>

<file path=word/numbering.xml><?xml version="1.0" encoding="utf-8"?>
<w:numbering xmlns:w="http://schemas.openxmlformats.org/wordprocessingml/2006/main">
  <w:abstractNum w:abstractNumId="0">
    <w:multiLevelType w:val="singleLevel"/>
    <w:lvl w:ilvl="0">
      <w:start w:val="1"/>
      <w:numFmt w:val="bullet"/>
      <w:lvlText w:val="•"/>
      <w:lvlJc w:val="left"/>
      <w:pPr>
        <w:tabs>
          <w:tab w:val="num" w:pos="720"/>
        </w:tabs>
        <w:ind w:left="720" w:hanging="360"/>
      </w:pPr>
      <w:rPr>
        <w:rFonts w:ascii="Arial" w:hAnsi="Arial"/>
      </w:rPr>
    </w:lvl>
  </w:abstractNum>
  <w:num w:numId="1">
    <w:abstractNumId w:val="0"/>
  </w:num>
</w:numbering>
</file>

<file path=word/styles.xml><?xml version="1.0" encoding="utf-8"?>
<w:styles xmlns:w="http://schemas.openxmlformats.org/wordprocessingml/2006/main">
  <w:docDefaults>
    <w:rPrDefault>
      <w:rPr>
        <w:rFonts w:ascii="Arial" w:hAnsi="Arial"/>
        <w:sz w:val="22"/>
        <w:szCs w:val="22"/>
        <w:color w:val="0B2441"/>
      </w:rPr>
    </w:rPrDefault>
    <w:pPrDefault>
      <w:pPr>
        <w:spacing w:after="160" w:line="319" w:lineRule="auto"/>
      </w:pPr>
    </w:pPrDefault>
  </w:docDefaults>
  <w:style w:type="paragraph" w:default="1" w:styleId="Normal">
    <w:name w:val="Normal"/>
    <w:qFormat/>
  </w:style>
  <w:style w:type="paragraph" w:styleId="Title">
    <w:name w:val="Title"/>
    <w:basedOn w:val="Normal"/>
    <w:next w:val="Subtitle"/>
    <w:qFormat/>
    <w:pPr>
      <w:spacing w:after="120"/>
      <w:jc w:val="center"/>
    </w:pPr>
    <w:rPr>
      <w:rFonts w:ascii="Arial" w:hAnsi="Arial"/>
      <w:b/>
      <w:color w:val="0B2441"/>
      <w:sz w:val="60"/>
      <w:szCs w:val="60"/>
    </w:rPr>
  </w:style>
  <w:style w:type="paragraph" w:styleId="Subtitle">
    <w:name w:val="Subtitle"/>
    <w:basedOn w:val="Normal"/>
    <w:qFormat/>
    <w:pPr>
      <w:spacing w:after="160"/>
      <w:jc w:val="center"/>
    </w:pPr>
    <w:rPr>
      <w:rFonts w:ascii="Arial" w:hAnsi="Arial"/>
      <w:color w:val="526174"/>
      <w:sz w:val="36"/>
      <w:szCs w:val="36"/>
    </w:rPr>
  </w:style>
  <w:style w:type="paragraph" w:styleId="Heading1">
    <w:name w:val="heading 1"/>
    <w:basedOn w:val="Normal"/>
    <w:next w:val="Normal"/>
    <w:qFormat/>
    <w:pPr>
      <w:keepNext/>
      <w:keepLines/>
      <w:spacing w:before="400" w:after="160"/>
      <w:outlineLvl w:val="0"/>
      <w:pBdr>
        <w:bottom w:val="single" w:sz="4" w:space="6" w:color="DCE5EC"/>
      </w:pBdr>
    </w:pPr>
    <w:rPr>
      <w:rFonts w:ascii="Arial" w:hAnsi="Arial"/>
      <w:b/>
      <w:color w:val="0B2441"/>
      <w:sz w:val="36"/>
      <w:szCs w:val="36"/>
    </w:rPr>
  </w:style>
  <w:style w:type="paragraph" w:styleId="Disclaimer">
    <w:name w:val="Disclaimer"/>
    <w:basedOn w:val="Normal"/>
    <w:pPr>
      <w:spacing w:before="420" w:after="0"/>
    </w:pPr>
    <w:rPr>
      <w:rFonts w:ascii="Arial" w:hAnsi="Arial"/>
      <w:color w:val="526174"/>
      <w:sz w:val="18"/>
      <w:szCs w:val="18"/>
    </w:rPr>
  </w:style>
  <w:style w:type="paragraph" w:styleId="BodyLabel">
    <w:name w:val="Body label"/>
    <w:basedOn w:val="Normal"/>
    <w:next w:val="Normal"/>
    <w:pPr>
      <w:keepNext/>
      <w:keepLines/>
      <w:spacing w:before="120" w:after="60"/>
    </w:pPr>
    <w:rPr>
      <w:b/>
      <w:color w:val="17365D"/>
    </w:rPr>
  </w:style>
  <w:style w:type="paragraph" w:styleId="RecordDetail">
    <w:name w:val="Record detail"/>
    <w:basedOn w:val="Normal"/>
    <w:next w:val="RecordDetail"/>
    <w:pPr>
      <w:ind w:left="720" w:right="120"/>
      <w:spacing w:before="0" w:after="80" w:line="288" w:lineRule="auto"/>
    </w:pPr>
    <w:rPr>
      <w:sz w:val="20"/>
      <w:szCs w:val="20"/>
      <w:color w:val="263D56"/>
    </w:rPr>
  </w:style>
  <w:style w:type="paragraph" w:styleId="Warning">
    <w:name w:val="Financial warning"/>
    <w:basedOn w:val="Normal"/>
    <w:next w:val="Normal"/>
    <w:pPr>
      <w:keepNext/>
      <w:keepLines/>
      <w:spacing w:before="80" w:after="140"/>
      <w:ind w:left="160" w:right="160"/>
      <w:shd w:val="clear" w:fill="FCE8E6"/>
      <w:pBdr>
        <w:left w:val="single" w:sz="18" w:space="8" w:color="B3261E"/>
      </w:pBdr>
    </w:pPr>
    <w:rPr>
      <w:b/>
      <w:color w:val="8A1C14"/>
    </w:rPr>
  </w:style>
  <w:style w:type="paragraph" w:styleId="FinancialStatus">
    <w:name w:val="Financial status"/>
    <w:basedOn w:val="Normal"/>
    <w:next w:val="Normal"/>
    <w:pPr>
      <w:keepNext/>
      <w:keepLines/>
      <w:spacing w:before="80" w:after="140"/>
      <w:ind w:left="160" w:right="160"/>
      <w:shd w:val="clear" w:fill="E2F0D9"/>
      <w:pBdr>
        <w:left w:val="single" w:sz="18" w:space="8" w:color="274E13"/>
      </w:pBdr>
    </w:pPr>
    <w:rPr>
      <w:b/>
      <w:color w:val="274E13"/>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er" Target="footer1.xml"/></Relationships>
</file>

<file path=docProps/app.xml><?xml version="1.0" encoding="utf-8"?>
<Properties xmlns="http://schemas.openxmlformats.org/officeDocument/2006/extended-properties" xmlns:vt="http://schemas.openxmlformats.org/officeDocument/2006/docPropsVTypes">
  <Application>LoanLens</Application>
  <AppVersion>1.0</AppVersion>
</Properties>
</file>

<file path=docProps/core.xml><?xml version="1.0" encoding="utf-8"?>
<cp:coreProperties xmlns:cp="http://schemas.openxmlformats.org/package/2006/metadata/core-properties" xmlns:dc="http://purl.org/dc/elements/1.1/">
  <dc:title>Juniper Office Care Fictional Sample Business Plan</dc:title>
  <dc:creator>LoanLens</dc:creator>
</cp:coreProperties>
</file>